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801.12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«Экономическая культура и финансовая грамотность»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изучение дисциплин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43"/>
        </w:trPr>
        <w:tc>
          <w:tcPr>
            <w:tcW w:w="3970" w:type="dxa"/>
          </w:tcPr>
          <w:p/>
        </w:tc>
        <w:tc>
          <w:tcPr>
            <w:tcW w:w="4679" w:type="dxa"/>
          </w:tcPr>
          <w:p/>
        </w:tc>
        <w:tc>
          <w:tcPr>
            <w:tcW w:w="993" w:type="dxa"/>
          </w:tcPr>
          <w:p/>
        </w:tc>
      </w:tr>
      <w:tr>
        <w:trPr>
          <w:trHeight w:hRule="exact" w:val="358.2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72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642.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714.4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both"/>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both"/>
              <w:spacing w:after="0" w:line="240" w:lineRule="auto"/>
              <w:rPr>
                <w:sz w:val="24"/>
                <w:szCs w:val="24"/>
              </w:rPr>
            </w:pPr>
            <w:r>
              <w:rPr>
                <w:rFonts w:ascii="Times New Roman" w:hAnsi="Times New Roman" w:cs="Times New Roman"/>
                <w:color w:val="#000000"/>
                <w:sz w:val="24"/>
                <w:szCs w:val="24"/>
              </w:rPr>
              <w:t> 3. Эвристики суждения.</w:t>
            </w:r>
          </w:p>
          <w:p>
            <w:pPr>
              <w:jc w:val="both"/>
              <w:spacing w:after="0" w:line="240" w:lineRule="auto"/>
              <w:rPr>
                <w:sz w:val="24"/>
                <w:szCs w:val="24"/>
              </w:rPr>
            </w:pPr>
            <w:r>
              <w:rPr>
                <w:rFonts w:ascii="Times New Roman" w:hAnsi="Times New Roman" w:cs="Times New Roman"/>
                <w:color w:val="#000000"/>
                <w:sz w:val="24"/>
                <w:szCs w:val="24"/>
              </w:rPr>
              <w:t> 4. Поведенческие эффекты.</w:t>
            </w:r>
          </w:p>
          <w:p>
            <w:pPr>
              <w:jc w:val="both"/>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both"/>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both"/>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both"/>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both"/>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both"/>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both"/>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both"/>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both"/>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both"/>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both"/>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both"/>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both"/>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both"/>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both"/>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both"/>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both"/>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05.15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26.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иЛ)(24)_plx_Экономическая культура и финансовая грамотность</dc:title>
  <dc:creator>FastReport.NET</dc:creator>
</cp:coreProperties>
</file>